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D45A2" w:rsidP="008D45A2">
      <w:pPr>
        <w:spacing w:line="480" w:lineRule="auto"/>
        <w:jc w:val="center"/>
        <w:rPr>
          <w:rFonts w:ascii="Times New Roman" w:hAnsi="Times New Roman" w:cs="Times New Roman"/>
          <w:sz w:val="24"/>
          <w:szCs w:val="24"/>
        </w:rPr>
      </w:pPr>
    </w:p>
    <w:p w:rsidR="008D45A2" w:rsidP="008D45A2">
      <w:pPr>
        <w:spacing w:line="480" w:lineRule="auto"/>
        <w:jc w:val="center"/>
        <w:rPr>
          <w:rFonts w:ascii="Times New Roman" w:hAnsi="Times New Roman" w:cs="Times New Roman"/>
          <w:sz w:val="24"/>
          <w:szCs w:val="24"/>
        </w:rPr>
      </w:pPr>
    </w:p>
    <w:p w:rsidR="008D45A2" w:rsidP="008D45A2">
      <w:pPr>
        <w:spacing w:line="480" w:lineRule="auto"/>
        <w:jc w:val="center"/>
        <w:rPr>
          <w:rFonts w:ascii="Times New Roman" w:hAnsi="Times New Roman" w:cs="Times New Roman"/>
          <w:sz w:val="24"/>
          <w:szCs w:val="24"/>
        </w:rPr>
      </w:pPr>
    </w:p>
    <w:p w:rsidR="008D45A2" w:rsidP="008D45A2">
      <w:pPr>
        <w:spacing w:line="480" w:lineRule="auto"/>
        <w:jc w:val="center"/>
        <w:rPr>
          <w:rFonts w:ascii="Times New Roman" w:hAnsi="Times New Roman" w:cs="Times New Roman"/>
          <w:sz w:val="24"/>
          <w:szCs w:val="24"/>
        </w:rPr>
      </w:pPr>
    </w:p>
    <w:p w:rsidR="008D45A2" w:rsidP="008D45A2">
      <w:pPr>
        <w:spacing w:line="480" w:lineRule="auto"/>
        <w:jc w:val="center"/>
        <w:rPr>
          <w:rFonts w:ascii="Times New Roman" w:hAnsi="Times New Roman" w:cs="Times New Roman"/>
          <w:sz w:val="24"/>
          <w:szCs w:val="24"/>
        </w:rPr>
      </w:pPr>
    </w:p>
    <w:p w:rsidR="008D45A2" w:rsidP="008D45A2">
      <w:pPr>
        <w:spacing w:line="480" w:lineRule="auto"/>
        <w:jc w:val="center"/>
        <w:rPr>
          <w:rFonts w:ascii="Times New Roman" w:hAnsi="Times New Roman" w:cs="Times New Roman"/>
          <w:sz w:val="24"/>
          <w:szCs w:val="24"/>
        </w:rPr>
      </w:pPr>
    </w:p>
    <w:p w:rsidR="008D45A2" w:rsidP="008D45A2">
      <w:pPr>
        <w:spacing w:line="480" w:lineRule="auto"/>
        <w:jc w:val="center"/>
        <w:rPr>
          <w:rFonts w:ascii="Times New Roman" w:hAnsi="Times New Roman" w:cs="Times New Roman"/>
          <w:sz w:val="24"/>
          <w:szCs w:val="24"/>
        </w:rPr>
      </w:pPr>
    </w:p>
    <w:p w:rsidR="008D45A2" w:rsidP="008D45A2">
      <w:pPr>
        <w:spacing w:line="480" w:lineRule="auto"/>
        <w:jc w:val="center"/>
        <w:rPr>
          <w:rFonts w:ascii="Times New Roman" w:hAnsi="Times New Roman" w:cs="Times New Roman"/>
          <w:sz w:val="24"/>
          <w:szCs w:val="24"/>
        </w:rPr>
      </w:pPr>
    </w:p>
    <w:p w:rsidR="008D45A2" w:rsidP="008D45A2">
      <w:pPr>
        <w:spacing w:line="480" w:lineRule="auto"/>
        <w:jc w:val="center"/>
        <w:rPr>
          <w:rFonts w:ascii="Times New Roman" w:hAnsi="Times New Roman" w:cs="Times New Roman"/>
          <w:sz w:val="24"/>
          <w:szCs w:val="24"/>
        </w:rPr>
      </w:pPr>
    </w:p>
    <w:p w:rsidR="0080412D" w:rsidP="008D45A2">
      <w:pPr>
        <w:spacing w:line="480" w:lineRule="auto"/>
        <w:jc w:val="center"/>
        <w:rPr>
          <w:rFonts w:ascii="Times New Roman" w:hAnsi="Times New Roman" w:cs="Times New Roman"/>
          <w:sz w:val="24"/>
          <w:szCs w:val="24"/>
        </w:rPr>
      </w:pPr>
      <w:r>
        <w:rPr>
          <w:rFonts w:ascii="Times New Roman" w:hAnsi="Times New Roman" w:cs="Times New Roman"/>
          <w:sz w:val="24"/>
          <w:szCs w:val="24"/>
        </w:rPr>
        <w:t>Law Reform Process</w:t>
      </w:r>
    </w:p>
    <w:p w:rsidR="008D45A2" w:rsidP="008D45A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D45A2" w:rsidP="008D45A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D45A2" w:rsidRPr="008D45A2" w:rsidP="008D45A2">
      <w:pPr>
        <w:rPr>
          <w:rFonts w:ascii="Times New Roman" w:hAnsi="Times New Roman" w:cs="Times New Roman"/>
          <w:sz w:val="24"/>
          <w:szCs w:val="24"/>
        </w:rPr>
      </w:pPr>
    </w:p>
    <w:p w:rsidR="008D45A2" w:rsidRPr="008D45A2" w:rsidP="008D45A2">
      <w:pPr>
        <w:rPr>
          <w:rFonts w:ascii="Times New Roman" w:hAnsi="Times New Roman" w:cs="Times New Roman"/>
          <w:sz w:val="24"/>
          <w:szCs w:val="24"/>
        </w:rPr>
      </w:pPr>
    </w:p>
    <w:p w:rsidR="008D45A2" w:rsidRPr="008D45A2" w:rsidP="008D45A2">
      <w:pPr>
        <w:rPr>
          <w:rFonts w:ascii="Times New Roman" w:hAnsi="Times New Roman" w:cs="Times New Roman"/>
          <w:sz w:val="24"/>
          <w:szCs w:val="24"/>
        </w:rPr>
      </w:pPr>
    </w:p>
    <w:p w:rsidR="008D45A2" w:rsidRPr="008D45A2" w:rsidP="008D45A2">
      <w:pPr>
        <w:rPr>
          <w:rFonts w:ascii="Times New Roman" w:hAnsi="Times New Roman" w:cs="Times New Roman"/>
          <w:sz w:val="24"/>
          <w:szCs w:val="24"/>
        </w:rPr>
      </w:pPr>
    </w:p>
    <w:p w:rsidR="008D45A2" w:rsidP="008D45A2">
      <w:pPr>
        <w:rPr>
          <w:rFonts w:ascii="Times New Roman" w:hAnsi="Times New Roman" w:cs="Times New Roman"/>
          <w:sz w:val="24"/>
          <w:szCs w:val="24"/>
        </w:rPr>
      </w:pPr>
    </w:p>
    <w:p w:rsidR="008D45A2" w:rsidP="008D45A2">
      <w:pPr>
        <w:rPr>
          <w:rFonts w:ascii="Times New Roman" w:hAnsi="Times New Roman" w:cs="Times New Roman"/>
          <w:sz w:val="24"/>
          <w:szCs w:val="24"/>
        </w:rPr>
      </w:pPr>
    </w:p>
    <w:p w:rsidR="008D45A2" w:rsidP="008D45A2">
      <w:pPr>
        <w:rPr>
          <w:rFonts w:ascii="Times New Roman" w:hAnsi="Times New Roman" w:cs="Times New Roman"/>
          <w:sz w:val="24"/>
          <w:szCs w:val="24"/>
        </w:rPr>
      </w:pPr>
    </w:p>
    <w:p w:rsidR="008D45A2" w:rsidP="008D45A2">
      <w:pPr>
        <w:rPr>
          <w:rFonts w:ascii="Times New Roman" w:hAnsi="Times New Roman" w:cs="Times New Roman"/>
          <w:sz w:val="24"/>
          <w:szCs w:val="24"/>
        </w:rPr>
      </w:pPr>
    </w:p>
    <w:p w:rsidR="008D45A2" w:rsidP="008D45A2">
      <w:pPr>
        <w:spacing w:line="480" w:lineRule="auto"/>
        <w:jc w:val="center"/>
        <w:rPr>
          <w:rFonts w:ascii="Times New Roman" w:hAnsi="Times New Roman" w:cs="Times New Roman"/>
          <w:sz w:val="24"/>
          <w:szCs w:val="24"/>
        </w:rPr>
      </w:pPr>
      <w:r>
        <w:rPr>
          <w:rFonts w:ascii="Times New Roman" w:hAnsi="Times New Roman" w:cs="Times New Roman"/>
          <w:sz w:val="24"/>
          <w:szCs w:val="24"/>
        </w:rPr>
        <w:t>Legal Reform Process</w:t>
      </w:r>
    </w:p>
    <w:p w:rsidR="008D45A2" w:rsidP="008D45A2">
      <w:pPr>
        <w:spacing w:line="480" w:lineRule="auto"/>
        <w:rPr>
          <w:rFonts w:ascii="Times New Roman" w:hAnsi="Times New Roman" w:cs="Times New Roman"/>
          <w:sz w:val="24"/>
          <w:szCs w:val="24"/>
        </w:rPr>
      </w:pPr>
      <w:r>
        <w:rPr>
          <w:rFonts w:ascii="Times New Roman" w:hAnsi="Times New Roman" w:cs="Times New Roman"/>
          <w:sz w:val="24"/>
          <w:szCs w:val="24"/>
        </w:rPr>
        <w:tab/>
      </w:r>
      <w:r w:rsidR="007E3F33">
        <w:rPr>
          <w:rFonts w:ascii="Times New Roman" w:hAnsi="Times New Roman" w:cs="Times New Roman"/>
          <w:sz w:val="24"/>
          <w:szCs w:val="24"/>
        </w:rPr>
        <w:t>T</w:t>
      </w:r>
      <w:r w:rsidR="00E66FE0">
        <w:rPr>
          <w:rFonts w:ascii="Times New Roman" w:hAnsi="Times New Roman" w:cs="Times New Roman"/>
          <w:sz w:val="24"/>
          <w:szCs w:val="24"/>
        </w:rPr>
        <w:t>he</w:t>
      </w:r>
      <w:r w:rsidR="003C645D">
        <w:rPr>
          <w:rFonts w:ascii="Times New Roman" w:hAnsi="Times New Roman" w:cs="Times New Roman"/>
          <w:sz w:val="24"/>
          <w:szCs w:val="24"/>
        </w:rPr>
        <w:t xml:space="preserve"> </w:t>
      </w:r>
      <w:r w:rsidR="00D77E72">
        <w:rPr>
          <w:rFonts w:ascii="Times New Roman" w:hAnsi="Times New Roman" w:cs="Times New Roman"/>
          <w:sz w:val="24"/>
          <w:szCs w:val="24"/>
        </w:rPr>
        <w:t xml:space="preserve">reform was made to counter alcohol-fueled violence based on the complaints from the public </w:t>
      </w:r>
      <w:r w:rsidR="001A3F90">
        <w:rPr>
          <w:rFonts w:ascii="Times New Roman" w:hAnsi="Times New Roman" w:cs="Times New Roman"/>
          <w:sz w:val="24"/>
          <w:szCs w:val="24"/>
        </w:rPr>
        <w:t>that there were no tougher laws</w:t>
      </w:r>
      <w:r w:rsidR="00ED3D25">
        <w:rPr>
          <w:rFonts w:ascii="Times New Roman" w:hAnsi="Times New Roman" w:cs="Times New Roman"/>
          <w:sz w:val="24"/>
          <w:szCs w:val="24"/>
        </w:rPr>
        <w:t xml:space="preserve"> and mandatory sentencing on the same</w:t>
      </w:r>
      <w:r w:rsidR="001A3F90">
        <w:rPr>
          <w:rFonts w:ascii="Times New Roman" w:hAnsi="Times New Roman" w:cs="Times New Roman"/>
          <w:sz w:val="24"/>
          <w:szCs w:val="24"/>
        </w:rPr>
        <w:t xml:space="preserve">. </w:t>
      </w:r>
      <w:r w:rsidR="00A027B9">
        <w:rPr>
          <w:rFonts w:ascii="Times New Roman" w:hAnsi="Times New Roman" w:cs="Times New Roman"/>
          <w:sz w:val="24"/>
          <w:szCs w:val="24"/>
        </w:rPr>
        <w:t>Also, t</w:t>
      </w:r>
      <w:r w:rsidR="00ED3D25">
        <w:rPr>
          <w:rFonts w:ascii="Times New Roman" w:hAnsi="Times New Roman" w:cs="Times New Roman"/>
          <w:sz w:val="24"/>
          <w:szCs w:val="24"/>
        </w:rPr>
        <w:t xml:space="preserve">here was intensive media coverage on the issue that necessitated a statutory review of the section of 25A. In January 2014, a bill was passed to repeal the punch laws stipulated in Section 25A (1) (assault causing death) and Section 25A (2) (aggravated assault causing death). </w:t>
      </w:r>
      <w:r w:rsidR="000C0254">
        <w:rPr>
          <w:rFonts w:ascii="Times New Roman" w:hAnsi="Times New Roman" w:cs="Times New Roman"/>
          <w:sz w:val="24"/>
          <w:szCs w:val="24"/>
        </w:rPr>
        <w:t>The conditions of the reform were met as the new assault causing death crimes under Section 25A replicated the "one-punch" crimes in other jurisdictional areas. Therefore, it was an offense for a person to unlawfully assault another individual either directly or indirectly</w:t>
      </w:r>
      <w:r w:rsidR="00A027B9">
        <w:rPr>
          <w:rFonts w:ascii="Times New Roman" w:hAnsi="Times New Roman" w:cs="Times New Roman"/>
          <w:sz w:val="24"/>
          <w:szCs w:val="24"/>
        </w:rPr>
        <w:t xml:space="preserve"> by hitting any part of their body using an object</w:t>
      </w:r>
      <w:r w:rsidR="000C0254">
        <w:rPr>
          <w:rFonts w:ascii="Times New Roman" w:hAnsi="Times New Roman" w:cs="Times New Roman"/>
          <w:sz w:val="24"/>
          <w:szCs w:val="24"/>
        </w:rPr>
        <w:t>. T</w:t>
      </w:r>
      <w:r w:rsidR="00A027B9">
        <w:rPr>
          <w:rFonts w:ascii="Times New Roman" w:hAnsi="Times New Roman" w:cs="Times New Roman"/>
          <w:sz w:val="24"/>
          <w:szCs w:val="24"/>
        </w:rPr>
        <w:t>he maximum sentence of 10 years imprisonment under the old law was changed to 20 years</w:t>
      </w:r>
      <w:r w:rsidR="001B1D8A">
        <w:rPr>
          <w:rFonts w:ascii="Times New Roman" w:hAnsi="Times New Roman" w:cs="Times New Roman"/>
          <w:sz w:val="24"/>
          <w:szCs w:val="24"/>
        </w:rPr>
        <w:t xml:space="preserve"> (Young Lawyers, 2017)</w:t>
      </w:r>
      <w:r w:rsidR="00A027B9">
        <w:rPr>
          <w:rFonts w:ascii="Times New Roman" w:hAnsi="Times New Roman" w:cs="Times New Roman"/>
          <w:sz w:val="24"/>
          <w:szCs w:val="24"/>
        </w:rPr>
        <w:t xml:space="preserve">. </w:t>
      </w:r>
    </w:p>
    <w:p w:rsidR="000C0254" w:rsidP="008D45A2">
      <w:pPr>
        <w:spacing w:line="480" w:lineRule="auto"/>
        <w:rPr>
          <w:rFonts w:ascii="Times New Roman" w:hAnsi="Times New Roman" w:cs="Times New Roman"/>
          <w:sz w:val="24"/>
          <w:szCs w:val="24"/>
        </w:rPr>
      </w:pPr>
      <w:r>
        <w:rPr>
          <w:rFonts w:ascii="Times New Roman" w:hAnsi="Times New Roman" w:cs="Times New Roman"/>
          <w:sz w:val="24"/>
          <w:szCs w:val="24"/>
        </w:rPr>
        <w:tab/>
      </w:r>
      <w:r w:rsidR="00A027B9">
        <w:rPr>
          <w:rFonts w:ascii="Times New Roman" w:hAnsi="Times New Roman" w:cs="Times New Roman"/>
          <w:sz w:val="24"/>
          <w:szCs w:val="24"/>
        </w:rPr>
        <w:t>Multiple agencies advocated for the reforms, including the mass media, lobbyists, and the public. The public, as well as the mass media, campaigned for tougher laws and sentencing for persons that commit assaults causing death or aggravated assault causing death. The Premier, Barry O' Farrell initiated a 16-point plan in January 2014</w:t>
      </w:r>
      <w:r w:rsidR="001B1D8A">
        <w:rPr>
          <w:rFonts w:ascii="Times New Roman" w:hAnsi="Times New Roman" w:cs="Times New Roman"/>
          <w:sz w:val="24"/>
          <w:szCs w:val="24"/>
        </w:rPr>
        <w:t xml:space="preserve"> (Young Lawyers, 2017)</w:t>
      </w:r>
      <w:r w:rsidR="00A027B9">
        <w:rPr>
          <w:rFonts w:ascii="Times New Roman" w:hAnsi="Times New Roman" w:cs="Times New Roman"/>
          <w:sz w:val="24"/>
          <w:szCs w:val="24"/>
        </w:rPr>
        <w:t xml:space="preserve">. The plan was formulated without consulting the public or getting input from the NSW Law Reform Commission. Afterward, a bill was passed and </w:t>
      </w:r>
      <w:r w:rsidR="00C47AF1">
        <w:rPr>
          <w:rFonts w:ascii="Times New Roman" w:hAnsi="Times New Roman" w:cs="Times New Roman"/>
          <w:sz w:val="24"/>
          <w:szCs w:val="24"/>
        </w:rPr>
        <w:t>enforced for a weekend. Section 25A was implemented the day after the enforcement. Also, a statutory review was carried out in May 2017 that showed that section 25A had no convictions for either assault, causing death or aggravated assault causing death. In April 2017, a defendant was pleaded that he was guilty of a basic offense instead of manslaughter and was due to be sentenced. To date, ten people have been charged with the offenses under section 25A. 
</w:t>
      </w:r>
    </w:p>
    <w:p w:rsidR="001B1D8A" w:rsidP="001B1D8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1B1D8A" w:rsidP="001B1D8A">
      <w:pPr>
        <w:spacing w:line="480" w:lineRule="auto"/>
        <w:rPr>
          <w:rFonts w:ascii="Times New Roman" w:hAnsi="Times New Roman" w:cs="Times New Roman"/>
          <w:sz w:val="24"/>
          <w:szCs w:val="24"/>
        </w:rPr>
      </w:pPr>
      <w:r>
        <w:rPr>
          <w:rFonts w:ascii="Times New Roman" w:hAnsi="Times New Roman" w:cs="Times New Roman"/>
          <w:sz w:val="24"/>
          <w:szCs w:val="24"/>
        </w:rPr>
        <w:t>Young Lawyers.</w:t>
      </w:r>
      <w:r>
        <w:rPr>
          <w:rFonts w:ascii="Times New Roman" w:hAnsi="Times New Roman" w:cs="Times New Roman"/>
          <w:sz w:val="24"/>
          <w:szCs w:val="24"/>
        </w:rPr>
        <w:t xml:space="preserve"> </w:t>
      </w:r>
      <w:r>
        <w:rPr>
          <w:rFonts w:ascii="Times New Roman" w:hAnsi="Times New Roman" w:cs="Times New Roman"/>
          <w:sz w:val="24"/>
          <w:szCs w:val="24"/>
        </w:rPr>
        <w:t>(2017). Section 25A Assault causing death.</w:t>
      </w:r>
      <w:r>
        <w:rPr>
          <w:rFonts w:ascii="Times New Roman" w:hAnsi="Times New Roman" w:cs="Times New Roman"/>
          <w:sz w:val="24"/>
          <w:szCs w:val="24"/>
        </w:rPr>
        <w:t xml:space="preserve"> Retrieved from</w:t>
      </w:r>
    </w:p>
    <w:p w:rsidR="001B1D8A" w:rsidP="001B1D8A">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1B1D8A">
          <w:rPr>
            <w:rStyle w:val="Hyperlink"/>
            <w:rFonts w:ascii="Times New Roman" w:hAnsi="Times New Roman" w:cs="Times New Roman"/>
            <w:sz w:val="24"/>
            <w:szCs w:val="24"/>
          </w:rPr>
          <w:t>https://crimlawcommittee.wordpress.com/2017/08/02/section-25a-assault-causing-death/</w:t>
        </w:r>
      </w:hyperlink>
      <w:bookmarkStart w:id="0" w:name="_GoBack"/>
      <w:bookmarkEnd w:id="0"/>
    </w:p>
    <w:p w:rsidR="008D45A2" w:rsidRPr="008D45A2" w:rsidP="008D45A2">
      <w:pPr>
        <w:rPr>
          <w:rFonts w:ascii="Times New Roman" w:hAnsi="Times New Roman" w:cs="Times New Roman"/>
          <w:sz w:val="24"/>
          <w:szCs w:val="24"/>
        </w:rPr>
      </w:pPr>
    </w:p>
    <w:sectPr w:rsidSect="008D45A2">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A2" w:rsidRPr="008D45A2" w:rsidP="008D45A2">
    <w:pPr>
      <w:pStyle w:val="Header"/>
      <w:spacing w:line="480" w:lineRule="auto"/>
      <w:rPr>
        <w:rFonts w:ascii="Times New Roman" w:hAnsi="Times New Roman" w:cs="Times New Roman"/>
        <w:sz w:val="24"/>
        <w:szCs w:val="24"/>
      </w:rPr>
    </w:pPr>
    <w:r w:rsidRPr="008D45A2">
      <w:rPr>
        <w:rFonts w:ascii="Times New Roman" w:hAnsi="Times New Roman" w:cs="Times New Roman"/>
        <w:sz w:val="24"/>
        <w:szCs w:val="24"/>
      </w:rPr>
      <w:t xml:space="preserve">LEGAL REFORM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89352271"/>
        <w:docPartObj>
          <w:docPartGallery w:val="Page Numbers (Top of Page)"/>
          <w:docPartUnique/>
        </w:docPartObj>
      </w:sdtPr>
      <w:sdtEndPr>
        <w:rPr>
          <w:noProof/>
        </w:rPr>
      </w:sdtEndPr>
      <w:sdtContent>
        <w:r w:rsidRPr="008D45A2">
          <w:rPr>
            <w:rFonts w:ascii="Times New Roman" w:hAnsi="Times New Roman" w:cs="Times New Roman"/>
            <w:sz w:val="24"/>
            <w:szCs w:val="24"/>
          </w:rPr>
          <w:fldChar w:fldCharType="begin"/>
        </w:r>
        <w:r w:rsidRPr="008D45A2">
          <w:rPr>
            <w:rFonts w:ascii="Times New Roman" w:hAnsi="Times New Roman" w:cs="Times New Roman"/>
            <w:sz w:val="24"/>
            <w:szCs w:val="24"/>
          </w:rPr>
          <w:instrText xml:space="preserve"> PAGE   \* MERGEFORMAT </w:instrText>
        </w:r>
        <w:r w:rsidRPr="008D45A2">
          <w:rPr>
            <w:rFonts w:ascii="Times New Roman" w:hAnsi="Times New Roman" w:cs="Times New Roman"/>
            <w:sz w:val="24"/>
            <w:szCs w:val="24"/>
          </w:rPr>
          <w:fldChar w:fldCharType="separate"/>
        </w:r>
        <w:r w:rsidR="001B1D8A">
          <w:rPr>
            <w:rFonts w:ascii="Times New Roman" w:hAnsi="Times New Roman" w:cs="Times New Roman"/>
            <w:noProof/>
            <w:sz w:val="24"/>
            <w:szCs w:val="24"/>
          </w:rPr>
          <w:t>3</w:t>
        </w:r>
        <w:r w:rsidRPr="008D45A2">
          <w:rPr>
            <w:rFonts w:ascii="Times New Roman" w:hAnsi="Times New Roman" w:cs="Times New Roman"/>
            <w:noProof/>
            <w:sz w:val="24"/>
            <w:szCs w:val="24"/>
          </w:rPr>
          <w:fldChar w:fldCharType="end"/>
        </w:r>
      </w:sdtContent>
    </w:sdt>
  </w:p>
  <w:p w:rsidR="008D45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A2" w:rsidRPr="008D45A2" w:rsidP="008D45A2">
    <w:pPr>
      <w:pStyle w:val="Header"/>
      <w:spacing w:line="480" w:lineRule="auto"/>
      <w:rPr>
        <w:rFonts w:ascii="Times New Roman" w:hAnsi="Times New Roman" w:cs="Times New Roman"/>
        <w:sz w:val="24"/>
        <w:szCs w:val="24"/>
      </w:rPr>
    </w:pPr>
    <w:r w:rsidRPr="008D45A2">
      <w:rPr>
        <w:rFonts w:ascii="Times New Roman" w:hAnsi="Times New Roman" w:cs="Times New Roman"/>
        <w:sz w:val="24"/>
        <w:szCs w:val="24"/>
      </w:rPr>
      <w:t xml:space="preserve">Running head: </w:t>
    </w:r>
    <w:r>
      <w:rPr>
        <w:rFonts w:ascii="Times New Roman" w:hAnsi="Times New Roman" w:cs="Times New Roman"/>
        <w:sz w:val="24"/>
        <w:szCs w:val="24"/>
      </w:rPr>
      <w:t xml:space="preserve"> LAW REFORM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98280266"/>
        <w:docPartObj>
          <w:docPartGallery w:val="Page Numbers (Top of Page)"/>
          <w:docPartUnique/>
        </w:docPartObj>
      </w:sdtPr>
      <w:sdtEndPr>
        <w:rPr>
          <w:noProof/>
        </w:rPr>
      </w:sdtEndPr>
      <w:sdtContent>
        <w:r w:rsidRPr="008D45A2">
          <w:rPr>
            <w:rFonts w:ascii="Times New Roman" w:hAnsi="Times New Roman" w:cs="Times New Roman"/>
            <w:sz w:val="24"/>
            <w:szCs w:val="24"/>
          </w:rPr>
          <w:fldChar w:fldCharType="begin"/>
        </w:r>
        <w:r w:rsidRPr="008D45A2">
          <w:rPr>
            <w:rFonts w:ascii="Times New Roman" w:hAnsi="Times New Roman" w:cs="Times New Roman"/>
            <w:sz w:val="24"/>
            <w:szCs w:val="24"/>
          </w:rPr>
          <w:instrText xml:space="preserve"> PAGE   \* MERGEFORMAT </w:instrText>
        </w:r>
        <w:r w:rsidRPr="008D45A2">
          <w:rPr>
            <w:rFonts w:ascii="Times New Roman" w:hAnsi="Times New Roman" w:cs="Times New Roman"/>
            <w:sz w:val="24"/>
            <w:szCs w:val="24"/>
          </w:rPr>
          <w:fldChar w:fldCharType="separate"/>
        </w:r>
        <w:r>
          <w:rPr>
            <w:rFonts w:ascii="Times New Roman" w:hAnsi="Times New Roman" w:cs="Times New Roman"/>
            <w:noProof/>
            <w:sz w:val="24"/>
            <w:szCs w:val="24"/>
          </w:rPr>
          <w:t>1</w:t>
        </w:r>
        <w:r w:rsidRPr="008D45A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5A2"/>
    <w:rsid w:val="000C0254"/>
    <w:rsid w:val="001A3F90"/>
    <w:rsid w:val="001B1D8A"/>
    <w:rsid w:val="001D2666"/>
    <w:rsid w:val="003C645D"/>
    <w:rsid w:val="007E3F33"/>
    <w:rsid w:val="0080412D"/>
    <w:rsid w:val="008D45A2"/>
    <w:rsid w:val="00A027B9"/>
    <w:rsid w:val="00A67E68"/>
    <w:rsid w:val="00BD4F4E"/>
    <w:rsid w:val="00C47AF1"/>
    <w:rsid w:val="00D77E72"/>
    <w:rsid w:val="00E66FE0"/>
    <w:rsid w:val="00ED3D2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5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5A2"/>
  </w:style>
  <w:style w:type="paragraph" w:styleId="Footer">
    <w:name w:val="footer"/>
    <w:basedOn w:val="Normal"/>
    <w:link w:val="FooterChar"/>
    <w:uiPriority w:val="99"/>
    <w:unhideWhenUsed/>
    <w:rsid w:val="008D45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5A2"/>
  </w:style>
  <w:style w:type="character" w:styleId="Hyperlink">
    <w:name w:val="Hyperlink"/>
    <w:basedOn w:val="DefaultParagraphFont"/>
    <w:uiPriority w:val="99"/>
    <w:unhideWhenUsed/>
    <w:rsid w:val="001B1D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crimlawcommittee.wordpress.com/2017/08/02/section-25a-assault-causing-death/"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3</Pages>
  <Words>331</Words>
  <Characters>1889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2019-07-22T08:23:00Z</dcterms:created>
  <dcterms:modified xsi:type="dcterms:W3CDTF">2019-07-22T09:48:00Z</dcterms:modified>
</cp:coreProperties>
</file>